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jc w:val="center"/>
        <w:rPr>
          <w:rFonts w:ascii="Verdana" w:hAnsi="Verdana" w:cs="Verdana"/>
          <w:b/>
          <w:b/>
          <w:bCs/>
          <w:color w:val="68676D"/>
          <w:sz w:val="28"/>
          <w:szCs w:val="28"/>
          <w:lang w:eastAsia="ru-RU"/>
        </w:rPr>
      </w:pPr>
      <w:r>
        <w:rPr>
          <w:rFonts w:cs="Verdana" w:ascii="Verdana" w:hAnsi="Verdana"/>
          <w:b/>
          <w:bCs/>
          <w:color w:val="000000"/>
          <w:sz w:val="28"/>
          <w:szCs w:val="28"/>
          <w:lang w:eastAsia="ru-RU"/>
        </w:rPr>
        <w:t>План по противодействию коррупции в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cs="Times New Roman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Муниципальном бюджетном дошкольном образовательном учреждении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cs="Times New Roman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Кривошлыковский  д\с № 8  № Березка»</w:t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(201</w:t>
      </w: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7</w:t>
      </w: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- 201</w:t>
      </w: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8</w:t>
      </w: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 xml:space="preserve"> год)</w:t>
      </w:r>
    </w:p>
    <w:p>
      <w:pPr>
        <w:pStyle w:val="Normal"/>
        <w:spacing w:lineRule="atLeast" w:line="300" w:beforeAutospacing="1" w:afterAutospacing="1"/>
        <w:rPr>
          <w:rFonts w:ascii="Times New Roman" w:hAnsi="Times New Roman" w:cs="Times New Roman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Цель: </w:t>
      </w:r>
    </w:p>
    <w:p>
      <w:pPr>
        <w:pStyle w:val="Normal"/>
        <w:spacing w:lineRule="atLeast" w:line="300" w:beforeAutospacing="1" w:afterAutospacing="1"/>
        <w:rPr>
          <w:rFonts w:ascii="Times New Roman" w:hAnsi="Times New Roman" w:cs="Times New Roman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 xml:space="preserve">Создание и внедрение организационно-правовых механизмов,нравственно-психологической атмосферы, направленных на эффективную  профилактику  коррупции в МБДОУ Кривошлыковский  д\с № 8 «Березка» .  </w:t>
      </w:r>
    </w:p>
    <w:p>
      <w:pPr>
        <w:pStyle w:val="Normal"/>
        <w:spacing w:lineRule="atLeast" w:line="300" w:beforeAutospacing="1" w:afterAutospacing="1"/>
        <w:rPr>
          <w:rFonts w:ascii="Times New Roman" w:hAnsi="Times New Roman" w:cs="Times New Roman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Задачи: </w:t>
      </w:r>
    </w:p>
    <w:p>
      <w:pPr>
        <w:pStyle w:val="Normal"/>
        <w:spacing w:lineRule="atLeast" w:line="300" w:beforeAutospacing="1" w:afterAutospacing="1"/>
        <w:rPr>
          <w:rFonts w:ascii="Times New Roman" w:hAnsi="Times New Roman" w:cs="Times New Roman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         </w:t>
      </w: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систематизация условий, способствующих коррупции в ДОУ; </w:t>
      </w:r>
    </w:p>
    <w:p>
      <w:pPr>
        <w:pStyle w:val="Normal"/>
        <w:spacing w:lineRule="atLeast" w:line="300" w:beforeAutospacing="1" w:afterAutospacing="1"/>
        <w:rPr>
          <w:rFonts w:ascii="Times New Roman" w:hAnsi="Times New Roman" w:cs="Times New Roman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        </w:t>
      </w: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разработка мер, направленных на обеспечение прозрачностидействий ответственных лиц в условиях коррупционной ситуации; </w:t>
      </w:r>
    </w:p>
    <w:p>
      <w:pPr>
        <w:pStyle w:val="Normal"/>
        <w:spacing w:lineRule="atLeast" w:line="300" w:beforeAutospacing="1" w:afterAutospacing="1"/>
        <w:rPr>
          <w:rFonts w:ascii="Times New Roman" w:hAnsi="Times New Roman" w:cs="Times New Roman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         </w:t>
      </w: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совершенствование методов обучения и воспитания детей нравственным  нормам  составляющим основу личности, устойчивой против коррупции; </w:t>
      </w:r>
    </w:p>
    <w:p>
      <w:pPr>
        <w:pStyle w:val="Normal"/>
        <w:spacing w:lineRule="atLeast" w:line="300" w:beforeAutospacing="1" w:afterAutospacing="1"/>
        <w:rPr>
          <w:rFonts w:ascii="Times New Roman" w:hAnsi="Times New Roman" w:cs="Times New Roman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 xml:space="preserve">        </w:t>
      </w: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разработка и внедрение организационно – правовых механизмов,  снимающих  возможность  коррупционных действий; </w:t>
      </w:r>
    </w:p>
    <w:p>
      <w:pPr>
        <w:pStyle w:val="Normal"/>
        <w:spacing w:lineRule="atLeast" w:line="300" w:beforeAutospacing="1" w:afterAutospacing="1"/>
        <w:rPr>
          <w:rFonts w:ascii="Times New Roman" w:hAnsi="Times New Roman" w:cs="Times New Roman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         </w:t>
      </w: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содействие реализации прав граждан и организаций на доступ к  информации  о фактах коррупции и коррупциогенных факторов, а также на  их  свободное  освещение в средствах массовой информации (сайт ДОУ). </w:t>
      </w:r>
    </w:p>
    <w:p>
      <w:pPr>
        <w:pStyle w:val="Normal"/>
        <w:spacing w:lineRule="atLeast" w:line="420" w:beforeAutospacing="1" w:afterAutospacing="1"/>
        <w:jc w:val="center"/>
        <w:rPr>
          <w:rFonts w:ascii="Verdana" w:hAnsi="Verdana" w:cs="Verdana"/>
          <w:b/>
          <w:b/>
          <w:bCs/>
          <w:color w:val="68676D"/>
          <w:sz w:val="28"/>
          <w:szCs w:val="28"/>
          <w:lang w:eastAsia="ru-RU"/>
        </w:rPr>
      </w:pPr>
      <w:r>
        <w:rPr>
          <w:rFonts w:cs="Verdana" w:ascii="Verdana" w:hAnsi="Verdana"/>
          <w:b/>
          <w:bCs/>
          <w:color w:val="68676D"/>
          <w:sz w:val="28"/>
          <w:szCs w:val="28"/>
          <w:lang w:eastAsia="ru-RU"/>
        </w:rPr>
        <w:t> </w:t>
      </w:r>
    </w:p>
    <w:tbl>
      <w:tblPr>
        <w:tblW w:w="7770" w:type="dxa"/>
        <w:jc w:val="left"/>
        <w:tblInd w:w="-7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top w:w="0" w:type="dxa"/>
          <w:left w:w="2" w:type="dxa"/>
          <w:bottom w:w="0" w:type="dxa"/>
          <w:right w:w="0" w:type="dxa"/>
        </w:tblCellMar>
        <w:tblLook w:val="00a0"/>
      </w:tblPr>
      <w:tblGrid>
        <w:gridCol w:w="3198"/>
        <w:gridCol w:w="199"/>
        <w:gridCol w:w="2008"/>
        <w:gridCol w:w="1"/>
        <w:gridCol w:w="2363"/>
      </w:tblGrid>
      <w:tr>
        <w:trPr/>
        <w:tc>
          <w:tcPr>
            <w:tcW w:w="31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="0" w:after="0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</w:r>
          </w:p>
        </w:tc>
        <w:tc>
          <w:tcPr>
            <w:tcW w:w="220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Сроки</w:t>
            </w:r>
          </w:p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364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Ответственный</w:t>
            </w:r>
          </w:p>
        </w:tc>
      </w:tr>
      <w:tr>
        <w:trPr/>
        <w:tc>
          <w:tcPr>
            <w:tcW w:w="31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364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3</w:t>
            </w:r>
          </w:p>
        </w:tc>
      </w:tr>
      <w:tr>
        <w:trPr/>
        <w:tc>
          <w:tcPr>
            <w:tcW w:w="7769" w:type="dxa"/>
            <w:gridSpan w:val="5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cs="Times New Roman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68676D"/>
                <w:sz w:val="28"/>
                <w:szCs w:val="28"/>
                <w:lang w:eastAsia="ru-RU"/>
              </w:rPr>
              <w:t>1.Меры по развитию правовой основы в области</w:t>
            </w:r>
          </w:p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cs="Times New Roman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68676D"/>
                <w:sz w:val="28"/>
                <w:szCs w:val="28"/>
                <w:lang w:eastAsia="ru-RU"/>
              </w:rPr>
              <w:t>противодействия коррупции</w:t>
            </w:r>
          </w:p>
        </w:tc>
      </w:tr>
      <w:tr>
        <w:trPr/>
        <w:tc>
          <w:tcPr>
            <w:tcW w:w="31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1.1. Мониторинг изменений действующего законодательства в области противодействия коррупции</w:t>
            </w:r>
          </w:p>
        </w:tc>
        <w:tc>
          <w:tcPr>
            <w:tcW w:w="220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364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заведующий</w:t>
            </w:r>
          </w:p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 </w:t>
            </w:r>
          </w:p>
        </w:tc>
      </w:tr>
      <w:tr>
        <w:trPr/>
        <w:tc>
          <w:tcPr>
            <w:tcW w:w="31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1.2. Рассмотрение вопросов исполнения законодательства в области противодействия коррупции на общих собраниях трудового коллектива и педагогическом совете</w:t>
            </w:r>
          </w:p>
        </w:tc>
        <w:tc>
          <w:tcPr>
            <w:tcW w:w="220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2 раза в год</w:t>
            </w:r>
          </w:p>
        </w:tc>
        <w:tc>
          <w:tcPr>
            <w:tcW w:w="2364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заведующий</w:t>
            </w:r>
          </w:p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 </w:t>
            </w:r>
          </w:p>
        </w:tc>
      </w:tr>
      <w:tr>
        <w:trPr/>
        <w:tc>
          <w:tcPr>
            <w:tcW w:w="31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cs="Times New Roman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68676D"/>
                <w:sz w:val="28"/>
                <w:szCs w:val="28"/>
                <w:lang w:eastAsia="ru-RU"/>
              </w:rPr>
              <w:t>1.3. Издание приказа о назначении лица, ответственного  за профилактику коррупционных правонарушений в МБДОУ  Кривошлыковский    д/с №8                       «Березка»</w:t>
            </w:r>
          </w:p>
        </w:tc>
        <w:tc>
          <w:tcPr>
            <w:tcW w:w="220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по необходимости</w:t>
            </w:r>
          </w:p>
        </w:tc>
        <w:tc>
          <w:tcPr>
            <w:tcW w:w="2364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заведующий</w:t>
            </w:r>
          </w:p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 </w:t>
            </w:r>
          </w:p>
        </w:tc>
      </w:tr>
      <w:tr>
        <w:trPr/>
        <w:tc>
          <w:tcPr>
            <w:tcW w:w="31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1.4. Ознакомление   работников  детского сада   с     нормативными    документами     по антикоррупционной деятельности.</w:t>
            </w:r>
          </w:p>
        </w:tc>
        <w:tc>
          <w:tcPr>
            <w:tcW w:w="220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201</w:t>
            </w: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7</w:t>
            </w: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364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заведующий</w:t>
            </w:r>
          </w:p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отв. за профилактику</w:t>
            </w:r>
          </w:p>
        </w:tc>
      </w:tr>
      <w:tr>
        <w:trPr/>
        <w:tc>
          <w:tcPr>
            <w:tcW w:w="7769" w:type="dxa"/>
            <w:gridSpan w:val="5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cs="Times New Roman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68676D"/>
                <w:sz w:val="28"/>
                <w:szCs w:val="28"/>
                <w:lang w:eastAsia="ru-RU"/>
              </w:rPr>
              <w:t>2. Меры по совершенствованию функционирования ДОУ</w:t>
            </w:r>
          </w:p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cs="Times New Roman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68676D"/>
                <w:sz w:val="28"/>
                <w:szCs w:val="28"/>
                <w:lang w:eastAsia="ru-RU"/>
              </w:rPr>
              <w:t>в целях предупреждения коррупции</w:t>
            </w:r>
          </w:p>
        </w:tc>
      </w:tr>
      <w:tr>
        <w:trPr/>
        <w:tc>
          <w:tcPr>
            <w:tcW w:w="339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cs="Times New Roman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68676D"/>
                <w:sz w:val="28"/>
                <w:szCs w:val="28"/>
                <w:lang w:eastAsia="ru-RU"/>
              </w:rPr>
              <w:t>2.1. Организация проверки достоверности представляемых гражданином персональных данных и иных сведений при поступлении на работу в образовательное учреждение.</w:t>
            </w:r>
          </w:p>
        </w:tc>
        <w:tc>
          <w:tcPr>
            <w:tcW w:w="200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36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заведующий</w:t>
            </w:r>
          </w:p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 </w:t>
            </w:r>
          </w:p>
        </w:tc>
      </w:tr>
      <w:tr>
        <w:trPr/>
        <w:tc>
          <w:tcPr>
            <w:tcW w:w="339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2.2. Ежегодный анализ причин и условий, способствующих совершению коррупционных правонарушений</w:t>
            </w:r>
          </w:p>
        </w:tc>
        <w:tc>
          <w:tcPr>
            <w:tcW w:w="200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36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  <w:vAlign w:val="center"/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заведующий</w:t>
            </w:r>
          </w:p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cs="Times New Roman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68676D"/>
                <w:sz w:val="28"/>
                <w:szCs w:val="28"/>
                <w:lang w:eastAsia="ru-RU"/>
              </w:rPr>
              <w:t> </w:t>
            </w:r>
          </w:p>
        </w:tc>
      </w:tr>
      <w:tr>
        <w:trPr/>
        <w:tc>
          <w:tcPr>
            <w:tcW w:w="339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2.3. Организация и проведение инвентаризации муниципального имущества по анализу эффективности использования.</w:t>
            </w:r>
          </w:p>
        </w:tc>
        <w:tc>
          <w:tcPr>
            <w:tcW w:w="200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Ноябрь-декабрь</w:t>
            </w:r>
          </w:p>
        </w:tc>
        <w:tc>
          <w:tcPr>
            <w:tcW w:w="236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Комиссия по инвентаризации</w:t>
            </w:r>
          </w:p>
        </w:tc>
      </w:tr>
      <w:tr>
        <w:trPr/>
        <w:tc>
          <w:tcPr>
            <w:tcW w:w="339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cs="Times New Roman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68676D"/>
                <w:sz w:val="28"/>
                <w:szCs w:val="28"/>
                <w:lang w:eastAsia="ru-RU"/>
              </w:rPr>
              <w:t>2.4. Проведение внутреннего контроля :</w:t>
            </w:r>
          </w:p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cs="Times New Roman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68676D"/>
                <w:sz w:val="28"/>
                <w:szCs w:val="28"/>
                <w:lang w:eastAsia="ru-RU"/>
              </w:rPr>
              <w:t>- организация и проведения учебных занятий- расходование денежных средств;</w:t>
            </w:r>
          </w:p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cs="Times New Roman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68676D"/>
                <w:sz w:val="28"/>
                <w:szCs w:val="28"/>
                <w:lang w:eastAsia="ru-RU"/>
              </w:rPr>
              <w:t>- организация питания воспитанников;</w:t>
            </w:r>
          </w:p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cs="Times New Roman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68676D"/>
                <w:sz w:val="28"/>
                <w:szCs w:val="28"/>
                <w:lang w:eastAsia="ru-RU"/>
              </w:rPr>
              <w:t>- соблюдением прав всех участников образовательного процесса;</w:t>
            </w:r>
          </w:p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cs="Times New Roman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68676D"/>
                <w:sz w:val="28"/>
                <w:szCs w:val="28"/>
                <w:lang w:eastAsia="ru-RU"/>
              </w:rPr>
              <w:t>- работы по обращениям граждан.</w:t>
            </w:r>
          </w:p>
        </w:tc>
        <w:tc>
          <w:tcPr>
            <w:tcW w:w="200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36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заведующий</w:t>
            </w:r>
          </w:p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Председатель ПК</w:t>
            </w:r>
          </w:p>
        </w:tc>
      </w:tr>
      <w:tr>
        <w:trPr/>
        <w:tc>
          <w:tcPr>
            <w:tcW w:w="339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cs="Times New Roman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68676D"/>
                <w:sz w:val="28"/>
                <w:szCs w:val="28"/>
                <w:lang w:eastAsia="ru-RU"/>
              </w:rPr>
              <w:t>2.5. Информирование   родителей  о «телефоне горячей линии», как составной части системы информации руководства о действиях работников образовательного учреждения</w:t>
            </w:r>
          </w:p>
        </w:tc>
        <w:tc>
          <w:tcPr>
            <w:tcW w:w="200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36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заведующий</w:t>
            </w:r>
          </w:p>
        </w:tc>
      </w:tr>
      <w:tr>
        <w:trPr/>
        <w:tc>
          <w:tcPr>
            <w:tcW w:w="7769" w:type="dxa"/>
            <w:gridSpan w:val="5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3. Меры по правовому просвещению и повышению антикоррупционной компетентности сотрудников, воспитанников ДОУ и их родителей</w:t>
            </w:r>
          </w:p>
        </w:tc>
      </w:tr>
      <w:tr>
        <w:trPr/>
        <w:tc>
          <w:tcPr>
            <w:tcW w:w="31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cs="Times New Roman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68676D"/>
                <w:sz w:val="28"/>
                <w:szCs w:val="28"/>
                <w:lang w:eastAsia="ru-RU"/>
              </w:rPr>
              <w:t>3.1. Изготовление памяток для родителей : «Это важно знать!»</w:t>
            </w:r>
          </w:p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cs="Times New Roman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68676D"/>
                <w:sz w:val="28"/>
                <w:szCs w:val="28"/>
                <w:lang w:eastAsia="ru-RU"/>
              </w:rPr>
              <w:t>( по вопросам противодействия</w:t>
            </w:r>
          </w:p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cs="Times New Roman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68676D"/>
                <w:sz w:val="28"/>
                <w:szCs w:val="28"/>
                <w:lang w:eastAsia="ru-RU"/>
              </w:rPr>
              <w:t>коррупции).</w:t>
            </w:r>
          </w:p>
        </w:tc>
        <w:tc>
          <w:tcPr>
            <w:tcW w:w="220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364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 xml:space="preserve">     </w:t>
            </w: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воспитатель</w:t>
            </w:r>
          </w:p>
        </w:tc>
      </w:tr>
      <w:tr>
        <w:trPr/>
        <w:tc>
          <w:tcPr>
            <w:tcW w:w="31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cs="Times New Roman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68676D"/>
                <w:sz w:val="28"/>
                <w:szCs w:val="28"/>
                <w:lang w:eastAsia="ru-RU"/>
              </w:rPr>
              <w:t>3.3. Заседание родительского комитета по противодействию коррупции в ДОУ</w:t>
            </w:r>
          </w:p>
        </w:tc>
        <w:tc>
          <w:tcPr>
            <w:tcW w:w="220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364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Отв. за профилактику</w:t>
            </w:r>
          </w:p>
        </w:tc>
      </w:tr>
      <w:tr>
        <w:trPr/>
        <w:tc>
          <w:tcPr>
            <w:tcW w:w="7769" w:type="dxa"/>
            <w:gridSpan w:val="5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cs="Times New Roman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68676D"/>
                <w:sz w:val="28"/>
                <w:szCs w:val="28"/>
                <w:lang w:eastAsia="ru-RU"/>
              </w:rPr>
              <w:t>4. Обеспечение доступа граждан к информации о деятельности</w:t>
            </w:r>
          </w:p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cs="Times New Roman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68676D"/>
                <w:sz w:val="28"/>
                <w:szCs w:val="28"/>
                <w:lang w:eastAsia="ru-RU"/>
              </w:rPr>
              <w:t>администрации, установление обратной связи</w:t>
            </w:r>
          </w:p>
        </w:tc>
      </w:tr>
      <w:tr>
        <w:trPr/>
        <w:tc>
          <w:tcPr>
            <w:tcW w:w="31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4.1. Информирование родителей (законных представителей) о правилах приема в ДОУ, об оказании образовательных услуг на родительских собраниях,на информационных стендах, на сайте ДОУ</w:t>
            </w:r>
          </w:p>
        </w:tc>
        <w:tc>
          <w:tcPr>
            <w:tcW w:w="220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364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заведующий</w:t>
            </w:r>
          </w:p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 </w:t>
            </w:r>
          </w:p>
        </w:tc>
      </w:tr>
      <w:tr>
        <w:trPr/>
        <w:tc>
          <w:tcPr>
            <w:tcW w:w="31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4.2. Проведение   опроса родителей воспитанников ДОУ с целью определения степени их удовлетворенности работой ДОУ, качеством предоставляемых медицинских и образовательных услуг.</w:t>
            </w:r>
          </w:p>
        </w:tc>
        <w:tc>
          <w:tcPr>
            <w:tcW w:w="220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Январь</w:t>
            </w:r>
          </w:p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364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заведующий</w:t>
            </w:r>
          </w:p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 </w:t>
            </w:r>
          </w:p>
        </w:tc>
      </w:tr>
      <w:tr>
        <w:trPr/>
        <w:tc>
          <w:tcPr>
            <w:tcW w:w="31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4.3.Обновление    «Информационного    уголка»    о         прозрачности деятельности МБДОУ.</w:t>
            </w:r>
          </w:p>
        </w:tc>
        <w:tc>
          <w:tcPr>
            <w:tcW w:w="220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64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 </w:t>
            </w:r>
          </w:p>
        </w:tc>
      </w:tr>
      <w:tr>
        <w:trPr/>
        <w:tc>
          <w:tcPr>
            <w:tcW w:w="31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4.4. Размещение на сайте ДОУ ежегодного публичного отчета руководителя об образовательной, медицинской и финансово-хозяйственной деятельности</w:t>
            </w:r>
          </w:p>
        </w:tc>
        <w:tc>
          <w:tcPr>
            <w:tcW w:w="220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364" w:type="dxa"/>
            <w:gridSpan w:val="2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заведующий</w:t>
            </w:r>
          </w:p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Autospacing="1" w:afterAutospacing="1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 </w:t>
            </w:r>
          </w:p>
        </w:tc>
      </w:tr>
      <w:tr>
        <w:trPr/>
        <w:tc>
          <w:tcPr>
            <w:tcW w:w="31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4.5. Обеспечение функционирования сайта ДОУ в соответствии с Федеральным законом от 09.02.2009г. № 8-ФЗ «Об обеспечении доступа к информации о деятельности государственных органов и органов местного самоуправления» для размещения на нем информации о деятельности ДОУ, правил приема воспитанников.</w:t>
            </w:r>
          </w:p>
        </w:tc>
        <w:tc>
          <w:tcPr>
            <w:tcW w:w="220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364" w:type="dxa"/>
            <w:gridSpan w:val="2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2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319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</w:r>
          </w:p>
        </w:tc>
        <w:tc>
          <w:tcPr>
            <w:tcW w:w="1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</w:r>
          </w:p>
        </w:tc>
        <w:tc>
          <w:tcPr>
            <w:tcW w:w="200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</w:r>
          </w:p>
        </w:tc>
        <w:tc>
          <w:tcPr>
            <w:tcW w:w="236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Verdana" w:hAnsi="Verdana" w:cs="Verdana"/>
                <w:b/>
                <w:b/>
                <w:bCs/>
                <w:color w:val="68676D"/>
                <w:sz w:val="28"/>
                <w:szCs w:val="28"/>
                <w:lang w:eastAsia="ru-RU"/>
              </w:rPr>
            </w:pPr>
            <w:r>
              <w:rPr>
                <w:rFonts w:cs="Verdana" w:ascii="Verdana" w:hAnsi="Verdana"/>
                <w:b/>
                <w:bCs/>
                <w:color w:val="68676D"/>
                <w:sz w:val="28"/>
                <w:szCs w:val="28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Verdana" w:hAnsi="Verdana" w:cs="Verdana"/>
          <w:b/>
          <w:b/>
          <w:bCs/>
          <w:color w:val="68676D"/>
          <w:sz w:val="28"/>
          <w:szCs w:val="28"/>
          <w:lang w:eastAsia="ru-RU"/>
        </w:rPr>
      </w:pPr>
      <w:r>
        <w:rPr>
          <w:rFonts w:cs="Verdana" w:ascii="Verdana" w:hAnsi="Verdana"/>
          <w:b/>
          <w:bCs/>
          <w:color w:val="68676D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Verdana" w:hAnsi="Verdana" w:cs="Verdana"/>
          <w:b/>
          <w:b/>
          <w:bCs/>
          <w:sz w:val="28"/>
          <w:szCs w:val="28"/>
          <w:lang w:eastAsia="ru-RU"/>
        </w:rPr>
      </w:pPr>
      <w:r>
        <w:rPr>
          <w:rFonts w:cs="Verdana" w:ascii="Verdana" w:hAnsi="Verdana"/>
          <w:b/>
          <w:bCs/>
          <w:sz w:val="28"/>
          <w:szCs w:val="28"/>
          <w:lang w:eastAsia="ru-RU"/>
        </w:rPr>
        <w:t> </w:t>
      </w:r>
    </w:p>
    <w:p>
      <w:pPr>
        <w:pStyle w:val="Normal"/>
        <w:spacing w:lineRule="auto" w:line="240" w:before="0" w:after="0"/>
        <w:rPr>
          <w:rFonts w:ascii="Verdana" w:hAnsi="Verdana" w:cs="Verdana"/>
          <w:b/>
          <w:b/>
          <w:bCs/>
          <w:sz w:val="28"/>
          <w:szCs w:val="28"/>
          <w:lang w:eastAsia="ru-RU"/>
        </w:rPr>
      </w:pPr>
      <w:r>
        <w:rPr>
          <w:rFonts w:cs="Verdana" w:ascii="Verdana" w:hAnsi="Verdana"/>
          <w:b/>
          <w:bCs/>
          <w:sz w:val="28"/>
          <w:szCs w:val="28"/>
          <w:lang w:eastAsia="ru-RU"/>
        </w:rPr>
        <w:t xml:space="preserve">               </w:t>
      </w:r>
    </w:p>
    <w:p>
      <w:pPr>
        <w:pStyle w:val="Normal"/>
        <w:spacing w:lineRule="auto" w:line="240" w:before="0" w:after="0"/>
        <w:rPr>
          <w:rFonts w:ascii="Verdana" w:hAnsi="Verdana" w:cs="Verdana"/>
          <w:b/>
          <w:b/>
          <w:bCs/>
          <w:sz w:val="28"/>
          <w:szCs w:val="28"/>
          <w:lang w:eastAsia="ru-RU"/>
        </w:rPr>
      </w:pPr>
      <w:r>
        <w:rPr>
          <w:rFonts w:cs="Verdana" w:ascii="Verdana" w:hAnsi="Verdana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Verdana" w:hAnsi="Verdana" w:cs="Verdana"/>
          <w:b/>
          <w:b/>
          <w:bCs/>
          <w:sz w:val="28"/>
          <w:szCs w:val="28"/>
          <w:lang w:eastAsia="ru-RU"/>
        </w:rPr>
      </w:pPr>
      <w:r>
        <w:rPr>
          <w:rFonts w:cs="Verdana" w:ascii="Verdana" w:hAnsi="Verdana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Verdana" w:hAnsi="Verdana" w:cs="Verdana"/>
          <w:b/>
          <w:b/>
          <w:bCs/>
          <w:sz w:val="28"/>
          <w:szCs w:val="28"/>
          <w:lang w:eastAsia="ru-RU"/>
        </w:rPr>
      </w:pPr>
      <w:r>
        <w:rPr>
          <w:rFonts w:cs="Verdana" w:ascii="Verdana" w:hAnsi="Verdana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Verdana" w:hAnsi="Verdana" w:cs="Verdana"/>
          <w:b/>
          <w:b/>
          <w:bCs/>
          <w:sz w:val="28"/>
          <w:szCs w:val="28"/>
          <w:lang w:eastAsia="ru-RU"/>
        </w:rPr>
      </w:pPr>
      <w:r>
        <w:rPr>
          <w:rFonts w:cs="Verdana" w:ascii="Verdana" w:hAnsi="Verdana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Verdana" w:hAnsi="Verdana" w:cs="Verdana"/>
          <w:b/>
          <w:b/>
          <w:bCs/>
          <w:sz w:val="28"/>
          <w:szCs w:val="28"/>
          <w:lang w:eastAsia="ru-RU"/>
        </w:rPr>
      </w:pPr>
      <w:r>
        <w:rPr>
          <w:rFonts w:cs="Verdana" w:ascii="Verdana" w:hAnsi="Verdana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Verdana" w:hAnsi="Verdana" w:cs="Verdana"/>
          <w:b/>
          <w:b/>
          <w:bCs/>
          <w:sz w:val="28"/>
          <w:szCs w:val="28"/>
          <w:lang w:eastAsia="ru-RU"/>
        </w:rPr>
      </w:pPr>
      <w:r>
        <w:rPr>
          <w:rFonts w:cs="Verdana" w:ascii="Verdana" w:hAnsi="Verdana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Verdana" w:hAnsi="Verdana" w:cs="Verdana"/>
          <w:b/>
          <w:b/>
          <w:bCs/>
          <w:sz w:val="28"/>
          <w:szCs w:val="28"/>
          <w:lang w:eastAsia="ru-RU"/>
        </w:rPr>
      </w:pPr>
      <w:r>
        <w:rPr>
          <w:rFonts w:cs="Verdana" w:ascii="Verdana" w:hAnsi="Verdana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Verdana" w:hAnsi="Verdana" w:cs="Verdana"/>
          <w:b/>
          <w:b/>
          <w:bCs/>
          <w:sz w:val="28"/>
          <w:szCs w:val="28"/>
          <w:lang w:eastAsia="ru-RU"/>
        </w:rPr>
      </w:pPr>
      <w:r>
        <w:rPr>
          <w:rFonts w:cs="Verdana" w:ascii="Verdana" w:hAnsi="Verdana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Verdana" w:hAnsi="Verdana" w:cs="Verdana"/>
          <w:b/>
          <w:b/>
          <w:bCs/>
          <w:sz w:val="28"/>
          <w:szCs w:val="28"/>
          <w:lang w:eastAsia="ru-RU"/>
        </w:rPr>
      </w:pPr>
      <w:r>
        <w:rPr>
          <w:rFonts w:cs="Arial" w:ascii="Arial" w:hAnsi="Arial"/>
          <w:b/>
          <w:bCs/>
          <w:sz w:val="28"/>
          <w:szCs w:val="28"/>
          <w:lang w:eastAsia="ru-RU"/>
        </w:rPr>
        <w:br/>
        <w:br/>
        <w:t xml:space="preserve">                                            </w:t>
      </w:r>
      <w:r>
        <w:rPr>
          <w:rFonts w:cs="Times New Roman" w:ascii="Times New Roman" w:hAnsi="Times New Roman"/>
          <w:b/>
          <w:bCs/>
          <w:color w:val="FF0000"/>
          <w:sz w:val="52"/>
          <w:szCs w:val="52"/>
          <w:lang w:eastAsia="ru-RU"/>
        </w:rPr>
        <w:t xml:space="preserve">Памятка </w:t>
      </w:r>
    </w:p>
    <w:p>
      <w:pPr>
        <w:pStyle w:val="Normal"/>
        <w:spacing w:lineRule="auto" w:line="240" w:before="0" w:after="0"/>
        <w:jc w:val="center"/>
        <w:rPr>
          <w:rFonts w:ascii="Verdana" w:hAnsi="Verdana" w:cs="Verdana"/>
          <w:b/>
          <w:b/>
          <w:bCs/>
          <w:color w:val="68676D"/>
          <w:sz w:val="52"/>
          <w:szCs w:val="52"/>
          <w:lang w:eastAsia="ru-RU"/>
        </w:rPr>
      </w:pPr>
      <w:r>
        <w:rPr>
          <w:rFonts w:cs="Times New Roman" w:ascii="Times New Roman" w:hAnsi="Times New Roman"/>
          <w:b/>
          <w:bCs/>
          <w:color w:val="FF0000"/>
          <w:sz w:val="52"/>
          <w:szCs w:val="52"/>
          <w:lang w:eastAsia="ru-RU"/>
        </w:rPr>
        <w:t>"Как противодействовать коррупции"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jc w:val="both"/>
        <w:outlineLvl w:val="1"/>
        <w:rPr>
          <w:rFonts w:ascii="Verdana" w:hAnsi="Verdana" w:cs="Verdana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  <w:lang w:eastAsia="ru-RU"/>
        </w:rPr>
        <w:t>1. Как вести себя при попытке вымогательства взятки?</w:t>
      </w:r>
    </w:p>
    <w:p>
      <w:pPr>
        <w:pStyle w:val="Normal"/>
        <w:spacing w:lineRule="auto" w:line="240" w:beforeAutospacing="1" w:afterAutospacing="1"/>
        <w:jc w:val="both"/>
        <w:rPr>
          <w:rFonts w:ascii="Verdana" w:hAnsi="Verdana" w:cs="Verdana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     </w:t>
      </w: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В современной Российской истории одной из наиболее негативных тенденций является проявление коррупции.</w:t>
      </w:r>
    </w:p>
    <w:p>
      <w:pPr>
        <w:pStyle w:val="Normal"/>
        <w:spacing w:lineRule="auto" w:line="240" w:beforeAutospacing="1" w:afterAutospacing="1"/>
        <w:jc w:val="both"/>
        <w:rPr>
          <w:rFonts w:ascii="Verdana" w:hAnsi="Verdana" w:cs="Verdana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     </w:t>
      </w: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В декабре 2008 года в целях принят Федеральный закон Российской Федерации от 25 декабря 2008 г. N 273-ФЗ "О противодействии коррупции", устанавливающий основные принципы противодействия коррупции, правовые и организационные основы предупреждения коррупции и борьбы с ней, минимизации и (или) ликвидации последствий коррупционных правонарушений.</w:t>
      </w:r>
    </w:p>
    <w:p>
      <w:pPr>
        <w:pStyle w:val="Normal"/>
        <w:spacing w:lineRule="auto" w:line="240" w:beforeAutospacing="1" w:afterAutospacing="1"/>
        <w:jc w:val="both"/>
        <w:rPr>
          <w:rFonts w:ascii="Verdana" w:hAnsi="Verdana" w:cs="Verdana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      </w:t>
      </w: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Настоящим Федеральным законом коррупция определяется как «злоупотребление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лицами».</w:t>
      </w:r>
    </w:p>
    <w:p>
      <w:pPr>
        <w:pStyle w:val="Normal"/>
        <w:spacing w:lineRule="auto" w:line="240" w:beforeAutospacing="1" w:afterAutospacing="1"/>
        <w:jc w:val="both"/>
        <w:rPr>
          <w:rFonts w:ascii="Verdana" w:hAnsi="Verdana" w:cs="Verdana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       </w:t>
      </w: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Коррупция всё более прочно внедряется в государственные органы, система коррупционных связей, основанная на взаимной протекции, обмене услугами и подкупе подрывает правовые устои Российской Федерации и дискредитирует её государственный аппарат.</w:t>
      </w:r>
    </w:p>
    <w:p>
      <w:pPr>
        <w:pStyle w:val="Normal"/>
        <w:spacing w:lineRule="auto" w:line="240" w:beforeAutospacing="1" w:afterAutospacing="1"/>
        <w:jc w:val="both"/>
        <w:rPr>
          <w:rFonts w:ascii="Verdana" w:hAnsi="Verdana" w:cs="Verdana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       </w:t>
      </w: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Подрыв авторитета государственной власти, в том числе правоохранительных органов, резко снижает эффективность их деятельности.</w:t>
      </w:r>
    </w:p>
    <w:p>
      <w:pPr>
        <w:pStyle w:val="Normal"/>
        <w:spacing w:lineRule="auto" w:line="240" w:beforeAutospacing="1" w:afterAutospacing="1"/>
        <w:jc w:val="both"/>
        <w:rPr>
          <w:rFonts w:ascii="Verdana" w:hAnsi="Verdana" w:cs="Verdana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      </w:t>
      </w: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Сегодня нам хочется рассказать читателям о понятии взяточничества и о том, как бороться с ним.</w:t>
      </w:r>
    </w:p>
    <w:p>
      <w:pPr>
        <w:pStyle w:val="Normal"/>
        <w:spacing w:lineRule="auto" w:line="240" w:beforeAutospacing="1" w:afterAutospacing="1"/>
        <w:jc w:val="both"/>
        <w:rPr>
          <w:rFonts w:ascii="Verdana" w:hAnsi="Verdana" w:cs="Verdana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      </w:t>
      </w: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Уголовный кодекс Российской Федерации разграничивает взяточничество на получение взятки (ст. 290 УК РФ) и дачу взятки (ст. 291 УК РФ).</w:t>
      </w:r>
    </w:p>
    <w:p>
      <w:pPr>
        <w:pStyle w:val="Normal"/>
        <w:spacing w:lineRule="auto" w:line="240" w:beforeAutospacing="1" w:afterAutospacing="1"/>
        <w:jc w:val="both"/>
        <w:rPr>
          <w:rFonts w:ascii="Verdana" w:hAnsi="Verdana" w:cs="Verdana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Это две стороны одной медали: взяточничество преступление особого рода, и оно не может быть совершено одним лицом, а требует взаимодействия по крайней мере двух – того, кто получает взятку (взяткополучатель) и того, кто её дает (взяткодатель).</w:t>
      </w:r>
    </w:p>
    <w:p>
      <w:pPr>
        <w:pStyle w:val="Normal"/>
        <w:spacing w:lineRule="auto" w:line="240" w:beforeAutospacing="1" w:afterAutospacing="1"/>
        <w:jc w:val="both"/>
        <w:rPr>
          <w:rFonts w:ascii="Verdana" w:hAnsi="Verdana" w:cs="Verdana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Субъектом получения взятки являются должностные лица - лица, постоянно, временно или по специальному полномочию осуществляющие функции представителя власти (например, работники правоохранительных органов, депутаты) либо выполняющие организационно-распорядительные (например, руководитель учреждения, организации), административно-хозяйственные функции (например, руководитель финансовой службы, службы материально-технического обеспечения) в государственных органах, органах местного самоуправления, государственных и муниципальных учреждениях, а также в Вооруженных Силах Российской Федерации, других войсках и воинских формированиях Российской Федерации.</w:t>
      </w:r>
    </w:p>
    <w:p>
      <w:pPr>
        <w:pStyle w:val="Normal"/>
        <w:spacing w:lineRule="auto" w:line="240" w:beforeAutospacing="1" w:afterAutospacing="1"/>
        <w:jc w:val="both"/>
        <w:rPr>
          <w:rFonts w:ascii="Verdana" w:hAnsi="Verdana" w:cs="Verdana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       </w:t>
      </w: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Специальным субъектом  данного преступления являются лица, занимающие должности, устанавливаемые Конституцией Российской Федерации, федеральными конституционными законами и федеральными законами, конституциями или уставами субъектов Российской Федерации для непосредственного исполнения полномочий органов власти (губернаторы, главы органов местного самоуправления).</w:t>
      </w:r>
    </w:p>
    <w:p>
      <w:pPr>
        <w:pStyle w:val="Normal"/>
        <w:spacing w:lineRule="auto" w:line="240" w:beforeAutospacing="1" w:afterAutospacing="1"/>
        <w:jc w:val="both"/>
        <w:rPr>
          <w:rFonts w:ascii="Verdana" w:hAnsi="Verdana" w:cs="Verdana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В совершении взяточничества нередко участвуют посредники, которые способствуют совершению преступления (ведут переговоры, передают или получают взятки).</w:t>
        <w:br/>
        <w:t>        Получение взятки заключается в приобретении должностным лицом имущества или выгод имущественного характера за законные или незаконные действия (бездействия) в пользу дающего.</w:t>
      </w:r>
    </w:p>
    <w:p>
      <w:pPr>
        <w:pStyle w:val="Normal"/>
        <w:spacing w:lineRule="auto" w:line="240" w:beforeAutospacing="1" w:afterAutospacing="1"/>
        <w:jc w:val="both"/>
        <w:rPr>
          <w:rFonts w:ascii="Verdana" w:hAnsi="Verdana" w:cs="Verdana"/>
          <w:b/>
          <w:b/>
          <w:bCs/>
          <w:color w:val="68676D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68676D"/>
          <w:sz w:val="28"/>
          <w:szCs w:val="28"/>
          <w:lang w:eastAsia="ru-RU"/>
        </w:rPr>
        <w:t>Дача взятки – начальный этап взяточничества. Она как бы провоцирует должностное лицо, создаёт для него нездоровый соблазн обогащения незаконными средствами с нарушением своего служебного долга.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a5bb7"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Application>LibreOffice/5.1.4.2$Windows_x86 LibreOffice_project/f99d75f39f1c57ebdd7ffc5f42867c12031db97a</Application>
  <Pages>9</Pages>
  <Words>875</Words>
  <Characters>6667</Characters>
  <CharactersWithSpaces>7722</CharactersWithSpaces>
  <Paragraphs>109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2015-08-18T19:09:00Z</dcterms:created>
  <dc:creator>Admin</dc:creator>
  <dc:description/>
  <dc:language>ru-RU</dc:language>
  <cp:lastModifiedBy/>
  <dcterms:modified xsi:type="dcterms:W3CDTF">2017-10-03T14:38:28Z</dcterms:modified>
  <cp:revision>4</cp:revision>
  <dc:subject/>
  <dc:title>План по противодействию коррупции в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